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Competitor Classification Worksheet (Visualping)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Classify your top ten rivals; re-check quarterly. The highest-signal evidence is one lost-deal question: "what did you do instead?" Guide: visualping.io/blog/direct-vs-indirect-competitors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Rival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Type (Direct / Indirect / Substitute / Potential)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Evidence (same shortlist? same budget line? named in "did instead"?)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Page to watch (URL)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Check cadence (weekly / monthly / quarterly)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Last verified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Tip: direct rivals get weekly-or-faster monitors on pricing and feature pages; indirect rivals get monthly monitors on positioning and use-case pages, where category encroachment shows first.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